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3A55" w14:textId="77777777" w:rsidR="005C0721" w:rsidRDefault="005C0721" w:rsidP="00095B61">
      <w:pPr>
        <w:tabs>
          <w:tab w:val="left" w:pos="-720"/>
        </w:tabs>
        <w:suppressAutoHyphens/>
        <w:spacing w:line="240" w:lineRule="atLeast"/>
        <w:ind w:left="-90"/>
        <w:jc w:val="center"/>
        <w:rPr>
          <w:rFonts w:ascii="Arial" w:hAnsi="Arial" w:cs="Arial"/>
          <w:b/>
          <w:spacing w:val="-3"/>
          <w:szCs w:val="24"/>
        </w:rPr>
      </w:pPr>
    </w:p>
    <w:p w14:paraId="4A78D67E" w14:textId="6FDBA8DF" w:rsidR="005C0721" w:rsidRDefault="00095B61" w:rsidP="005C0721">
      <w:pPr>
        <w:tabs>
          <w:tab w:val="left" w:pos="-720"/>
        </w:tabs>
        <w:suppressAutoHyphens/>
        <w:spacing w:line="240" w:lineRule="atLeast"/>
        <w:ind w:left="-90"/>
        <w:jc w:val="center"/>
        <w:rPr>
          <w:rFonts w:ascii="Arial" w:hAnsi="Arial" w:cs="Arial"/>
          <w:b/>
          <w:spacing w:val="-3"/>
          <w:szCs w:val="24"/>
        </w:rPr>
      </w:pPr>
      <w:r w:rsidRPr="00050AA6">
        <w:rPr>
          <w:rFonts w:ascii="Arial" w:hAnsi="Arial" w:cs="Arial"/>
          <w:b/>
          <w:spacing w:val="-3"/>
          <w:szCs w:val="24"/>
        </w:rPr>
        <w:t xml:space="preserve">CHAPTER 11: JEFFERSONIAN </w:t>
      </w:r>
      <w:r w:rsidR="005C0721">
        <w:rPr>
          <w:rFonts w:ascii="Arial" w:hAnsi="Arial" w:cs="Arial"/>
          <w:b/>
          <w:spacing w:val="-3"/>
          <w:szCs w:val="24"/>
        </w:rPr>
        <w:t xml:space="preserve">AMERICA </w:t>
      </w:r>
    </w:p>
    <w:p w14:paraId="48261842" w14:textId="3A947D04" w:rsidR="00D75B36" w:rsidRPr="00DC2B49" w:rsidRDefault="005C0721" w:rsidP="00DC2B49">
      <w:pPr>
        <w:tabs>
          <w:tab w:val="left" w:pos="-720"/>
        </w:tabs>
        <w:suppressAutoHyphens/>
        <w:spacing w:line="240" w:lineRule="atLeast"/>
        <w:ind w:left="-90"/>
        <w:jc w:val="center"/>
        <w:rPr>
          <w:rFonts w:ascii="Arial" w:hAnsi="Arial" w:cs="Arial"/>
          <w:b/>
          <w:spacing w:val="-3"/>
          <w:szCs w:val="24"/>
        </w:rPr>
        <w:sectPr w:rsidR="00D75B36" w:rsidRPr="00DC2B49" w:rsidSect="00095B61">
          <w:pgSz w:w="12240" w:h="15840"/>
          <w:pgMar w:top="360" w:right="900" w:bottom="450" w:left="810" w:header="720" w:footer="720" w:gutter="0"/>
          <w:cols w:space="720"/>
          <w:docGrid w:linePitch="360"/>
        </w:sectPr>
      </w:pPr>
      <w:r>
        <w:rPr>
          <w:rFonts w:ascii="Arial" w:hAnsi="Arial" w:cs="Arial"/>
          <w:b/>
          <w:spacing w:val="-3"/>
          <w:szCs w:val="24"/>
        </w:rPr>
        <w:t xml:space="preserve">CHAPTER 12:  </w:t>
      </w:r>
      <w:r w:rsidR="00D75B36" w:rsidRPr="008956D5">
        <w:rPr>
          <w:rFonts w:ascii="Arial" w:hAnsi="Arial" w:cs="Arial"/>
          <w:b/>
          <w:spacing w:val="-3"/>
          <w:szCs w:val="24"/>
        </w:rPr>
        <w:t xml:space="preserve">THE </w:t>
      </w:r>
      <w:r w:rsidR="00D75B36">
        <w:rPr>
          <w:rFonts w:ascii="Arial" w:hAnsi="Arial" w:cs="Arial"/>
          <w:b/>
          <w:spacing w:val="-3"/>
          <w:szCs w:val="24"/>
        </w:rPr>
        <w:t>2nd</w:t>
      </w:r>
      <w:r w:rsidR="00D75B36" w:rsidRPr="008956D5">
        <w:rPr>
          <w:rFonts w:ascii="Arial" w:hAnsi="Arial" w:cs="Arial"/>
          <w:b/>
          <w:spacing w:val="-3"/>
          <w:szCs w:val="24"/>
        </w:rPr>
        <w:t xml:space="preserve"> WAR FOR INDEPENDENCE AND THE UPSURGE OF NATIONALISM</w:t>
      </w:r>
    </w:p>
    <w:p w14:paraId="6ECDDE1F" w14:textId="77777777" w:rsidR="0062105A" w:rsidRDefault="0062105A" w:rsidP="00DC2B49">
      <w:pPr>
        <w:tabs>
          <w:tab w:val="left" w:pos="0"/>
        </w:tabs>
        <w:suppressAutoHyphens/>
        <w:spacing w:line="240" w:lineRule="atLeast"/>
        <w:jc w:val="both"/>
        <w:rPr>
          <w:rFonts w:ascii="Arial" w:hAnsi="Arial" w:cs="Arial"/>
          <w:b/>
          <w:spacing w:val="-3"/>
          <w:sz w:val="18"/>
          <w:szCs w:val="18"/>
        </w:rPr>
      </w:pPr>
    </w:p>
    <w:p w14:paraId="63E7B8BE" w14:textId="741D1EEC" w:rsidR="005C0721" w:rsidRDefault="005C0721" w:rsidP="005C0721">
      <w:pPr>
        <w:widowControl/>
        <w:rPr>
          <w:rFonts w:ascii="Arial" w:eastAsia="ＭＳ 明朝" w:hAnsi="Arial" w:cs="Arial"/>
          <w:sz w:val="22"/>
          <w:szCs w:val="22"/>
        </w:rPr>
      </w:pPr>
      <w:r w:rsidRPr="00BC5058">
        <w:rPr>
          <w:rFonts w:ascii="Arial" w:eastAsia="ＭＳ 明朝" w:hAnsi="Arial" w:cs="Arial"/>
          <w:sz w:val="22"/>
          <w:szCs w:val="22"/>
        </w:rPr>
        <w:t>Identify the following. Be as specific as possible, and include names, dates, and relevant facts as appropriate. Be sure to explain the significance of the person or term. Make sure you know how these terms relate to the APUSH Framework.</w:t>
      </w:r>
    </w:p>
    <w:p w14:paraId="685EADD3" w14:textId="77777777" w:rsidR="0013550E" w:rsidRPr="00BC5058" w:rsidRDefault="0013550E" w:rsidP="005C0721">
      <w:pPr>
        <w:widowControl/>
        <w:rPr>
          <w:rFonts w:ascii="Arial" w:eastAsia="ＭＳ 明朝" w:hAnsi="Arial" w:cs="Arial"/>
          <w:sz w:val="22"/>
          <w:szCs w:val="22"/>
        </w:rPr>
      </w:pPr>
      <w:bookmarkStart w:id="0" w:name="_GoBack"/>
      <w:bookmarkEnd w:id="0"/>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C0721" w:rsidRPr="00BC5058" w14:paraId="646E6602" w14:textId="77777777" w:rsidTr="005C0721">
        <w:tc>
          <w:tcPr>
            <w:tcW w:w="10620" w:type="dxa"/>
            <w:shd w:val="clear" w:color="auto" w:fill="auto"/>
          </w:tcPr>
          <w:p w14:paraId="7E5A52E1" w14:textId="6A2A8E4D" w:rsidR="005C0721" w:rsidRPr="005C0721" w:rsidRDefault="005C0721" w:rsidP="005C0721">
            <w:pPr>
              <w:autoSpaceDE w:val="0"/>
              <w:autoSpaceDN w:val="0"/>
              <w:adjustRightInd w:val="0"/>
              <w:jc w:val="center"/>
              <w:rPr>
                <w:rFonts w:ascii="Arial" w:eastAsiaTheme="minorEastAsia" w:hAnsi="Arial" w:cs="Arial"/>
                <w:b/>
                <w:bCs/>
                <w:sz w:val="20"/>
                <w:szCs w:val="22"/>
                <w:u w:val="single" w:color="535353"/>
              </w:rPr>
            </w:pPr>
            <w:r w:rsidRPr="005C0721">
              <w:rPr>
                <w:rFonts w:ascii="Arial" w:eastAsiaTheme="minorEastAsia" w:hAnsi="Arial" w:cs="Arial"/>
                <w:b/>
                <w:bCs/>
                <w:sz w:val="20"/>
                <w:szCs w:val="22"/>
                <w:u w:val="single" w:color="535353"/>
              </w:rPr>
              <w:t>Chapter 11</w:t>
            </w:r>
          </w:p>
          <w:p w14:paraId="622070B5"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See Key Concept 4.1 / I </w:t>
            </w:r>
          </w:p>
          <w:p w14:paraId="1190C3E5"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A) In the early 1800s, national political parties continued to debate issues such as the tariff, powers of the federal government, and relations with European powers.  </w:t>
            </w:r>
          </w:p>
          <w:p w14:paraId="79B7F07E"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B) Supreme Court decisions established the primacy of the judiciary in determining the meaning of the Constitution and asserted that federal laws took precedence over state laws.  </w:t>
            </w:r>
          </w:p>
          <w:p w14:paraId="20921CD8"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See Key Concept 4.3 / I</w:t>
            </w:r>
          </w:p>
          <w:p w14:paraId="206942BE"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 xml:space="preserve">A) Following the Louisiana Purchase, the United States government sought influence and control over North America and the Western Hemisphere through a variety of means, including exploration, military actions, American Indian removal, and diplomatic efforts such as the Monroe Doctrine. </w:t>
            </w:r>
          </w:p>
          <w:p w14:paraId="500F6C24" w14:textId="03ED3833"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B) Frontier settlers tended to champion expansion efforts, while American Indian resistance led to a sequence of wars and federal efforts to control and relocate American Indian populations. </w:t>
            </w:r>
          </w:p>
          <w:p w14:paraId="6D3DA01D" w14:textId="703478A9" w:rsidR="005C0721" w:rsidRPr="005C0721" w:rsidRDefault="005C0721" w:rsidP="005C0721">
            <w:pPr>
              <w:autoSpaceDE w:val="0"/>
              <w:autoSpaceDN w:val="0"/>
              <w:adjustRightInd w:val="0"/>
              <w:jc w:val="center"/>
              <w:rPr>
                <w:rFonts w:ascii="Arial" w:eastAsiaTheme="minorEastAsia" w:hAnsi="Arial" w:cs="Arial"/>
                <w:b/>
                <w:sz w:val="20"/>
                <w:szCs w:val="22"/>
                <w:u w:val="single" w:color="535353"/>
              </w:rPr>
            </w:pPr>
            <w:r w:rsidRPr="005C0721">
              <w:rPr>
                <w:rFonts w:ascii="Arial" w:eastAsiaTheme="minorEastAsia" w:hAnsi="Arial" w:cs="Arial"/>
                <w:b/>
                <w:sz w:val="20"/>
                <w:szCs w:val="22"/>
                <w:u w:val="single" w:color="535353"/>
              </w:rPr>
              <w:t>Chapter 12</w:t>
            </w:r>
          </w:p>
          <w:p w14:paraId="4EBF225F"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See Key Concept 4.1 / I: (</w:t>
            </w:r>
            <w:r w:rsidRPr="005C0721">
              <w:rPr>
                <w:rFonts w:ascii="Arial" w:eastAsiaTheme="minorEastAsia" w:hAnsi="Arial" w:cs="Arial"/>
                <w:b/>
                <w:bCs/>
                <w:sz w:val="20"/>
                <w:szCs w:val="22"/>
                <w:u w:color="535353"/>
              </w:rPr>
              <w:t>See A-D)</w:t>
            </w:r>
          </w:p>
          <w:p w14:paraId="15968602"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 xml:space="preserve">See Key Concept 4.2 / I: </w:t>
            </w:r>
          </w:p>
          <w:p w14:paraId="4A9FB8FE"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 xml:space="preserve">C. Legislation and judicial systems supported the development of roads, canals, and railroads, which extended and enlarged markets and </w:t>
            </w:r>
            <w:proofErr w:type="gramStart"/>
            <w:r w:rsidRPr="005C0721">
              <w:rPr>
                <w:rFonts w:ascii="Arial" w:eastAsiaTheme="minorEastAsia" w:hAnsi="Arial" w:cs="Arial"/>
                <w:sz w:val="20"/>
                <w:szCs w:val="22"/>
                <w:u w:color="535353"/>
              </w:rPr>
              <w:t>helped</w:t>
            </w:r>
            <w:proofErr w:type="gramEnd"/>
            <w:r w:rsidRPr="005C0721">
              <w:rPr>
                <w:rFonts w:ascii="Arial" w:eastAsiaTheme="minorEastAsia" w:hAnsi="Arial" w:cs="Arial"/>
                <w:sz w:val="20"/>
                <w:szCs w:val="22"/>
                <w:u w:color="535353"/>
              </w:rPr>
              <w:t xml:space="preserve"> foster regional interdependence. Transportation networks linked the North and Midwest more closely  than either was linked to the South.  </w:t>
            </w:r>
          </w:p>
          <w:p w14:paraId="6C88BFF0"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See Key Concept 4.2 / III: </w:t>
            </w:r>
          </w:p>
          <w:p w14:paraId="553847F5"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D. Plans to further unify the U.S. economy, such as the American System, generated debates over whether such policies would benefit agriculture or industry, potentially favoring different sections of the country. </w:t>
            </w:r>
          </w:p>
          <w:p w14:paraId="6B2D5FE3"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 xml:space="preserve">See Key Concept 4.3 / </w:t>
            </w:r>
            <w:proofErr w:type="gramStart"/>
            <w:r w:rsidRPr="005C0721">
              <w:rPr>
                <w:rFonts w:ascii="Arial" w:eastAsiaTheme="minorEastAsia" w:hAnsi="Arial" w:cs="Arial"/>
                <w:b/>
                <w:bCs/>
                <w:sz w:val="20"/>
                <w:szCs w:val="22"/>
                <w:u w:val="single" w:color="535353"/>
              </w:rPr>
              <w:t>I :</w:t>
            </w:r>
            <w:proofErr w:type="gramEnd"/>
            <w:r w:rsidRPr="005C0721">
              <w:rPr>
                <w:rFonts w:ascii="Arial" w:eastAsiaTheme="minorEastAsia" w:hAnsi="Arial" w:cs="Arial"/>
                <w:b/>
                <w:bCs/>
                <w:sz w:val="20"/>
                <w:szCs w:val="22"/>
                <w:u w:val="single" w:color="535353"/>
              </w:rPr>
              <w:t> </w:t>
            </w:r>
          </w:p>
          <w:p w14:paraId="46C47828"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sz w:val="20"/>
                <w:szCs w:val="22"/>
                <w:u w:color="535353"/>
              </w:rPr>
              <w:t>A. Following the Louisiana Purchase, the United States government sought influence and control over North America and the Western Hemisphere through a variety of means, including exploration, military actions, American Indian removal, and diplomatic efforts such as the Monroe Doctrine. </w:t>
            </w:r>
          </w:p>
          <w:p w14:paraId="7A42778F" w14:textId="77777777" w:rsidR="005C0721" w:rsidRPr="005C0721" w:rsidRDefault="005C0721" w:rsidP="005C0721">
            <w:pPr>
              <w:autoSpaceDE w:val="0"/>
              <w:autoSpaceDN w:val="0"/>
              <w:adjustRightInd w:val="0"/>
              <w:rPr>
                <w:rFonts w:ascii="Arial" w:eastAsiaTheme="minorEastAsia" w:hAnsi="Arial" w:cs="Arial"/>
                <w:sz w:val="20"/>
                <w:szCs w:val="22"/>
                <w:u w:color="535353"/>
              </w:rPr>
            </w:pPr>
            <w:r w:rsidRPr="005C0721">
              <w:rPr>
                <w:rFonts w:ascii="Arial" w:eastAsiaTheme="minorEastAsia" w:hAnsi="Arial" w:cs="Arial"/>
                <w:b/>
                <w:bCs/>
                <w:sz w:val="20"/>
                <w:szCs w:val="22"/>
                <w:u w:val="single" w:color="535353"/>
              </w:rPr>
              <w:t>See Key Concept 4.3 / II: </w:t>
            </w:r>
          </w:p>
          <w:p w14:paraId="1FA051CA" w14:textId="3E91A2BE" w:rsidR="005C0721" w:rsidRPr="005C0721" w:rsidRDefault="005C0721" w:rsidP="00DC2B49">
            <w:pPr>
              <w:autoSpaceDE w:val="0"/>
              <w:autoSpaceDN w:val="0"/>
              <w:adjustRightInd w:val="0"/>
              <w:rPr>
                <w:rFonts w:ascii="Arial" w:hAnsi="Arial" w:cs="Arial"/>
                <w:b/>
                <w:bCs/>
                <w:sz w:val="22"/>
                <w:szCs w:val="22"/>
              </w:rPr>
            </w:pPr>
            <w:r w:rsidRPr="005C0721">
              <w:rPr>
                <w:rFonts w:ascii="Arial" w:eastAsiaTheme="minorEastAsia" w:hAnsi="Arial" w:cs="Arial"/>
                <w:sz w:val="20"/>
                <w:szCs w:val="22"/>
                <w:u w:color="535353"/>
              </w:rPr>
              <w:t>C. Congressional attempts at political compromise, such as the Missouri Compromise, only temporarily stemmed growing tensions between opponents and defenders of slavery. </w:t>
            </w:r>
          </w:p>
        </w:tc>
      </w:tr>
    </w:tbl>
    <w:p w14:paraId="25DFB1D7" w14:textId="77777777" w:rsidR="005C0721" w:rsidRPr="005C0721" w:rsidRDefault="005C0721" w:rsidP="005C0721">
      <w:pPr>
        <w:rPr>
          <w:sz w:val="22"/>
          <w:szCs w:val="22"/>
        </w:rPr>
        <w:sectPr w:rsidR="005C0721" w:rsidRPr="005C0721" w:rsidSect="005C0721">
          <w:type w:val="continuous"/>
          <w:pgSz w:w="12240" w:h="15840"/>
          <w:pgMar w:top="360" w:right="540" w:bottom="450" w:left="810" w:header="720" w:footer="720" w:gutter="0"/>
          <w:cols w:space="720"/>
          <w:docGrid w:linePitch="360"/>
        </w:sectPr>
      </w:pPr>
    </w:p>
    <w:p w14:paraId="0E1F8EF2" w14:textId="77777777" w:rsidR="0062105A" w:rsidRPr="005C0721" w:rsidRDefault="0062105A" w:rsidP="0062105A">
      <w:pPr>
        <w:pStyle w:val="Bodytext"/>
        <w:rPr>
          <w:sz w:val="22"/>
          <w:szCs w:val="22"/>
        </w:rPr>
      </w:pPr>
    </w:p>
    <w:p w14:paraId="6BBBA1C5" w14:textId="3595FFBB" w:rsidR="0062105A" w:rsidRPr="00DC2B49" w:rsidRDefault="005C0721" w:rsidP="00DC2B49">
      <w:pPr>
        <w:rPr>
          <w:rFonts w:ascii="Arial" w:hAnsi="Arial" w:cs="Arial"/>
          <w:sz w:val="20"/>
        </w:rPr>
      </w:pPr>
      <w:r>
        <w:rPr>
          <w:rFonts w:ascii="Arial" w:hAnsi="Arial" w:cs="Arial"/>
          <w:sz w:val="22"/>
          <w:szCs w:val="22"/>
        </w:rPr>
        <w:t>1.</w:t>
      </w:r>
      <w:r>
        <w:rPr>
          <w:rFonts w:ascii="Arial" w:hAnsi="Arial" w:cs="Arial"/>
          <w:sz w:val="22"/>
          <w:szCs w:val="22"/>
        </w:rPr>
        <w:tab/>
      </w:r>
      <w:r w:rsidRPr="00DC2B49">
        <w:rPr>
          <w:rFonts w:ascii="Arial" w:hAnsi="Arial" w:cs="Arial"/>
          <w:sz w:val="20"/>
        </w:rPr>
        <w:t xml:space="preserve">Election of 1800, </w:t>
      </w:r>
      <w:r w:rsidR="0062105A" w:rsidRPr="00DC2B49">
        <w:rPr>
          <w:rFonts w:ascii="Arial" w:hAnsi="Arial" w:cs="Arial"/>
          <w:sz w:val="20"/>
        </w:rPr>
        <w:t>12th Amendment, Was it a Revolution</w:t>
      </w:r>
      <w:proofErr w:type="gramStart"/>
      <w:r w:rsidR="0062105A" w:rsidRPr="00DC2B49">
        <w:rPr>
          <w:rFonts w:ascii="Arial" w:hAnsi="Arial" w:cs="Arial"/>
          <w:sz w:val="20"/>
        </w:rPr>
        <w:t>?,</w:t>
      </w:r>
      <w:proofErr w:type="gramEnd"/>
      <w:r w:rsidR="0062105A" w:rsidRPr="00DC2B49">
        <w:rPr>
          <w:rFonts w:ascii="Arial" w:hAnsi="Arial" w:cs="Arial"/>
          <w:sz w:val="20"/>
        </w:rPr>
        <w:t xml:space="preserve"> Jeffersonian vision for America</w:t>
      </w:r>
    </w:p>
    <w:p w14:paraId="1839E3D3" w14:textId="71B81E3E" w:rsidR="0062105A" w:rsidRPr="00DC2B49" w:rsidRDefault="0062105A" w:rsidP="00DC2B49">
      <w:pPr>
        <w:rPr>
          <w:rFonts w:ascii="Arial" w:hAnsi="Arial" w:cs="Arial"/>
          <w:sz w:val="20"/>
        </w:rPr>
      </w:pPr>
      <w:r w:rsidRPr="00DC2B49">
        <w:rPr>
          <w:rFonts w:ascii="Arial" w:hAnsi="Arial" w:cs="Arial"/>
          <w:sz w:val="20"/>
        </w:rPr>
        <w:t>2.</w:t>
      </w:r>
      <w:r w:rsidRPr="00DC2B49">
        <w:rPr>
          <w:rFonts w:ascii="Arial" w:hAnsi="Arial" w:cs="Arial"/>
          <w:sz w:val="20"/>
        </w:rPr>
        <w:tab/>
      </w:r>
      <w:proofErr w:type="gramStart"/>
      <w:r w:rsidRPr="00DC2B49">
        <w:rPr>
          <w:rFonts w:ascii="Arial" w:hAnsi="Arial" w:cs="Arial"/>
          <w:sz w:val="20"/>
        </w:rPr>
        <w:t>midnight</w:t>
      </w:r>
      <w:proofErr w:type="gramEnd"/>
      <w:r w:rsidRPr="00DC2B49">
        <w:rPr>
          <w:rFonts w:ascii="Arial" w:hAnsi="Arial" w:cs="Arial"/>
          <w:sz w:val="20"/>
        </w:rPr>
        <w:t xml:space="preserve"> judges</w:t>
      </w:r>
      <w:r w:rsidR="00C61F93" w:rsidRPr="00DC2B49">
        <w:rPr>
          <w:rFonts w:ascii="Arial" w:hAnsi="Arial" w:cs="Arial"/>
          <w:sz w:val="20"/>
        </w:rPr>
        <w:t>, John Marshall,</w:t>
      </w:r>
      <w:r w:rsidRPr="00DC2B49">
        <w:rPr>
          <w:rFonts w:ascii="Arial" w:hAnsi="Arial" w:cs="Arial"/>
          <w:sz w:val="20"/>
        </w:rPr>
        <w:t xml:space="preserve"> Marbury v. Madison</w:t>
      </w:r>
      <w:r w:rsidR="00C61F93" w:rsidRPr="00DC2B49">
        <w:rPr>
          <w:rFonts w:ascii="Arial" w:hAnsi="Arial" w:cs="Arial"/>
          <w:sz w:val="20"/>
        </w:rPr>
        <w:t>, judicial review</w:t>
      </w:r>
    </w:p>
    <w:p w14:paraId="7FE5E6CC" w14:textId="77777777" w:rsidR="0062105A" w:rsidRPr="00DC2B49" w:rsidRDefault="0062105A" w:rsidP="00DC2B49">
      <w:pPr>
        <w:rPr>
          <w:rFonts w:ascii="Arial" w:hAnsi="Arial" w:cs="Arial"/>
          <w:sz w:val="20"/>
        </w:rPr>
      </w:pPr>
      <w:r w:rsidRPr="00DC2B49">
        <w:rPr>
          <w:rFonts w:ascii="Arial" w:hAnsi="Arial" w:cs="Arial"/>
          <w:sz w:val="20"/>
        </w:rPr>
        <w:t xml:space="preserve">3.      </w:t>
      </w:r>
      <w:r w:rsidRPr="00DC2B49">
        <w:rPr>
          <w:rFonts w:ascii="Arial" w:hAnsi="Arial" w:cs="Arial"/>
          <w:sz w:val="20"/>
        </w:rPr>
        <w:tab/>
        <w:t>Louisiana Purchase, Lewis and Clark expedition</w:t>
      </w:r>
    </w:p>
    <w:p w14:paraId="31D41573" w14:textId="3D7C2CC0" w:rsidR="0062105A" w:rsidRPr="00DC2B49" w:rsidRDefault="0062105A" w:rsidP="00DC2B49">
      <w:pPr>
        <w:rPr>
          <w:rFonts w:ascii="Arial" w:hAnsi="Arial" w:cs="Arial"/>
          <w:sz w:val="20"/>
        </w:rPr>
      </w:pPr>
      <w:r w:rsidRPr="00DC2B49">
        <w:rPr>
          <w:rFonts w:ascii="Arial" w:hAnsi="Arial" w:cs="Arial"/>
          <w:sz w:val="20"/>
        </w:rPr>
        <w:t>4.</w:t>
      </w:r>
      <w:r w:rsidRPr="00DC2B49">
        <w:rPr>
          <w:rFonts w:ascii="Arial" w:hAnsi="Arial" w:cs="Arial"/>
          <w:sz w:val="20"/>
        </w:rPr>
        <w:tab/>
        <w:t>British Orders in Council, France Milan Decree</w:t>
      </w:r>
    </w:p>
    <w:p w14:paraId="3047A1A3" w14:textId="77777777" w:rsidR="0062105A" w:rsidRPr="00DC2B49" w:rsidRDefault="0062105A" w:rsidP="00DC2B49">
      <w:pPr>
        <w:rPr>
          <w:rFonts w:ascii="Arial" w:hAnsi="Arial" w:cs="Arial"/>
          <w:sz w:val="20"/>
        </w:rPr>
      </w:pPr>
      <w:r w:rsidRPr="00DC2B49">
        <w:rPr>
          <w:rFonts w:ascii="Arial" w:hAnsi="Arial" w:cs="Arial"/>
          <w:sz w:val="20"/>
        </w:rPr>
        <w:t>5.</w:t>
      </w:r>
      <w:r w:rsidRPr="00DC2B49">
        <w:rPr>
          <w:rFonts w:ascii="Arial" w:hAnsi="Arial" w:cs="Arial"/>
          <w:sz w:val="20"/>
        </w:rPr>
        <w:tab/>
        <w:t>Chesapeake Affair &amp; Embargo Act of 1807, Effects</w:t>
      </w:r>
    </w:p>
    <w:p w14:paraId="4710C148" w14:textId="1A151491" w:rsidR="0062105A" w:rsidRPr="00DC2B49" w:rsidRDefault="0062105A" w:rsidP="00DC2B49">
      <w:pPr>
        <w:rPr>
          <w:rFonts w:ascii="Arial" w:hAnsi="Arial" w:cs="Arial"/>
          <w:sz w:val="20"/>
        </w:rPr>
      </w:pPr>
      <w:r w:rsidRPr="00DC2B49">
        <w:rPr>
          <w:rFonts w:ascii="Arial" w:hAnsi="Arial" w:cs="Arial"/>
          <w:sz w:val="20"/>
        </w:rPr>
        <w:t xml:space="preserve">6.     </w:t>
      </w:r>
      <w:r w:rsidR="00DC2B49">
        <w:rPr>
          <w:rFonts w:ascii="Arial" w:hAnsi="Arial" w:cs="Arial"/>
          <w:sz w:val="20"/>
        </w:rPr>
        <w:t xml:space="preserve">     </w:t>
      </w:r>
      <w:r w:rsidRPr="00DC2B49">
        <w:rPr>
          <w:rFonts w:ascii="Arial" w:hAnsi="Arial" w:cs="Arial"/>
          <w:sz w:val="20"/>
        </w:rPr>
        <w:t>Non-Intercourse Acts, Macon's Bill No. 2</w:t>
      </w:r>
    </w:p>
    <w:p w14:paraId="68D3C38A" w14:textId="77777777" w:rsidR="0062105A" w:rsidRPr="00DC2B49" w:rsidRDefault="0062105A" w:rsidP="00DC2B49">
      <w:pPr>
        <w:rPr>
          <w:rFonts w:ascii="Arial" w:hAnsi="Arial" w:cs="Arial"/>
          <w:sz w:val="20"/>
        </w:rPr>
      </w:pPr>
      <w:r w:rsidRPr="00DC2B49">
        <w:rPr>
          <w:rFonts w:ascii="Arial" w:hAnsi="Arial" w:cs="Arial"/>
          <w:sz w:val="20"/>
        </w:rPr>
        <w:t>7.</w:t>
      </w:r>
      <w:r w:rsidRPr="00DC2B49">
        <w:rPr>
          <w:rFonts w:ascii="Arial" w:hAnsi="Arial" w:cs="Arial"/>
          <w:sz w:val="20"/>
        </w:rPr>
        <w:tab/>
        <w:t>War hawks (John C Calhoun &amp; Henry Clay)</w:t>
      </w:r>
    </w:p>
    <w:p w14:paraId="1F0183EA" w14:textId="77777777" w:rsidR="0062105A" w:rsidRPr="00DC2B49" w:rsidRDefault="0062105A" w:rsidP="00DC2B49">
      <w:pPr>
        <w:ind w:left="720" w:hanging="720"/>
        <w:rPr>
          <w:rFonts w:ascii="Arial" w:hAnsi="Arial" w:cs="Arial"/>
          <w:sz w:val="20"/>
        </w:rPr>
      </w:pPr>
      <w:r w:rsidRPr="00DC2B49">
        <w:rPr>
          <w:rFonts w:ascii="Arial" w:hAnsi="Arial" w:cs="Arial"/>
          <w:sz w:val="20"/>
        </w:rPr>
        <w:t>8.</w:t>
      </w:r>
      <w:r w:rsidRPr="00DC2B49">
        <w:rPr>
          <w:rFonts w:ascii="Arial" w:hAnsi="Arial" w:cs="Arial"/>
          <w:sz w:val="20"/>
        </w:rPr>
        <w:tab/>
        <w:t>Tecumseh &amp; the Prophet, William Henry Harrison and the Battle of Tippecanoe</w:t>
      </w:r>
    </w:p>
    <w:p w14:paraId="182E6860" w14:textId="77777777" w:rsidR="0062105A" w:rsidRPr="00DC2B49" w:rsidRDefault="0062105A" w:rsidP="00DC2B49">
      <w:pPr>
        <w:rPr>
          <w:rFonts w:ascii="Arial" w:hAnsi="Arial" w:cs="Arial"/>
          <w:sz w:val="20"/>
        </w:rPr>
      </w:pPr>
      <w:r w:rsidRPr="00DC2B49">
        <w:rPr>
          <w:rFonts w:ascii="Arial" w:hAnsi="Arial" w:cs="Arial"/>
          <w:sz w:val="20"/>
        </w:rPr>
        <w:t>9.</w:t>
      </w:r>
      <w:r w:rsidRPr="00DC2B49">
        <w:rPr>
          <w:rFonts w:ascii="Arial" w:hAnsi="Arial" w:cs="Arial"/>
          <w:sz w:val="20"/>
        </w:rPr>
        <w:tab/>
        <w:t>War of 1812. Causes and Effects. Treaty of Ghent</w:t>
      </w:r>
    </w:p>
    <w:p w14:paraId="4766DF79" w14:textId="77777777" w:rsidR="0062105A" w:rsidRPr="00DC2B49" w:rsidRDefault="0062105A" w:rsidP="00DC2B49">
      <w:pPr>
        <w:rPr>
          <w:rFonts w:ascii="Arial" w:hAnsi="Arial" w:cs="Arial"/>
          <w:sz w:val="20"/>
        </w:rPr>
      </w:pPr>
      <w:r w:rsidRPr="00DC2B49">
        <w:rPr>
          <w:rFonts w:ascii="Arial" w:hAnsi="Arial" w:cs="Arial"/>
          <w:sz w:val="20"/>
        </w:rPr>
        <w:t>10.</w:t>
      </w:r>
      <w:r w:rsidRPr="00DC2B49">
        <w:rPr>
          <w:rFonts w:ascii="Arial" w:hAnsi="Arial" w:cs="Arial"/>
          <w:sz w:val="20"/>
        </w:rPr>
        <w:tab/>
        <w:t>Andrew Jackson and the Battle of New Orleans</w:t>
      </w:r>
    </w:p>
    <w:p w14:paraId="4EA7680D" w14:textId="186604F9" w:rsidR="0062105A" w:rsidRPr="00DC2B49" w:rsidRDefault="0062105A" w:rsidP="00DC2B49">
      <w:pPr>
        <w:rPr>
          <w:rFonts w:ascii="Arial" w:hAnsi="Arial" w:cs="Arial"/>
          <w:sz w:val="20"/>
        </w:rPr>
        <w:sectPr w:rsidR="0062105A" w:rsidRPr="00DC2B49" w:rsidSect="005C0721">
          <w:type w:val="continuous"/>
          <w:pgSz w:w="12240" w:h="15840"/>
          <w:pgMar w:top="360" w:right="540" w:bottom="450" w:left="810" w:header="720" w:footer="720" w:gutter="0"/>
          <w:cols w:space="720"/>
          <w:docGrid w:linePitch="360"/>
        </w:sectPr>
      </w:pPr>
      <w:r w:rsidRPr="00DC2B49">
        <w:rPr>
          <w:rFonts w:ascii="Arial" w:hAnsi="Arial" w:cs="Arial"/>
          <w:sz w:val="20"/>
        </w:rPr>
        <w:t>11.</w:t>
      </w:r>
      <w:r w:rsidRPr="00DC2B49">
        <w:rPr>
          <w:rFonts w:ascii="Arial" w:hAnsi="Arial" w:cs="Arial"/>
          <w:sz w:val="20"/>
        </w:rPr>
        <w:tab/>
        <w:t>Hartford Convention</w:t>
      </w:r>
    </w:p>
    <w:p w14:paraId="53C439A3" w14:textId="35C2BBE5" w:rsidR="0062105A" w:rsidRPr="00DC2B49" w:rsidRDefault="0062105A" w:rsidP="0013550E">
      <w:pPr>
        <w:pStyle w:val="NL-1"/>
        <w:ind w:left="0" w:firstLine="0"/>
        <w:rPr>
          <w:rFonts w:ascii="Arial" w:hAnsi="Arial" w:cs="Arial"/>
        </w:rPr>
      </w:pPr>
      <w:r w:rsidRPr="00DC2B49">
        <w:rPr>
          <w:rFonts w:ascii="Arial" w:hAnsi="Arial" w:cs="Arial"/>
        </w:rPr>
        <w:lastRenderedPageBreak/>
        <w:t xml:space="preserve">12. </w:t>
      </w:r>
      <w:r w:rsidR="00DC2B49">
        <w:rPr>
          <w:rFonts w:ascii="Arial" w:hAnsi="Arial" w:cs="Arial"/>
        </w:rPr>
        <w:t xml:space="preserve">      </w:t>
      </w:r>
      <w:r w:rsidRPr="00DC2B49">
        <w:rPr>
          <w:rFonts w:ascii="Arial" w:hAnsi="Arial" w:cs="Arial"/>
        </w:rPr>
        <w:t>"Era of Good Feelings"</w:t>
      </w:r>
      <w:r w:rsidR="00C61F93" w:rsidRPr="00DC2B49">
        <w:rPr>
          <w:rFonts w:ascii="Arial" w:hAnsi="Arial" w:cs="Arial"/>
        </w:rPr>
        <w:t xml:space="preserve">, </w:t>
      </w:r>
      <w:proofErr w:type="gramStart"/>
      <w:r w:rsidR="00C61F93" w:rsidRPr="00DC2B49">
        <w:rPr>
          <w:rFonts w:ascii="Arial" w:hAnsi="Arial" w:cs="Arial"/>
        </w:rPr>
        <w:t>What</w:t>
      </w:r>
      <w:proofErr w:type="gramEnd"/>
      <w:r w:rsidR="00C61F93" w:rsidRPr="00DC2B49">
        <w:rPr>
          <w:rFonts w:ascii="Arial" w:hAnsi="Arial" w:cs="Arial"/>
        </w:rPr>
        <w:t xml:space="preserve"> was it? What conflict existed?</w:t>
      </w:r>
    </w:p>
    <w:p w14:paraId="53384040" w14:textId="0AAF0308" w:rsidR="0062105A" w:rsidRPr="00DC2B49" w:rsidRDefault="0062105A" w:rsidP="0013550E">
      <w:pPr>
        <w:pStyle w:val="NL-1"/>
        <w:ind w:left="0" w:firstLine="0"/>
        <w:rPr>
          <w:rFonts w:ascii="Arial" w:hAnsi="Arial" w:cs="Arial"/>
        </w:rPr>
      </w:pPr>
      <w:r w:rsidRPr="00DC2B49">
        <w:rPr>
          <w:rFonts w:ascii="Arial" w:hAnsi="Arial" w:cs="Arial"/>
        </w:rPr>
        <w:t xml:space="preserve">13. </w:t>
      </w:r>
      <w:r w:rsidR="00DC2B49">
        <w:rPr>
          <w:rFonts w:ascii="Arial" w:hAnsi="Arial" w:cs="Arial"/>
        </w:rPr>
        <w:tab/>
      </w:r>
      <w:r w:rsidRPr="00DC2B49">
        <w:rPr>
          <w:rFonts w:ascii="Arial" w:hAnsi="Arial" w:cs="Arial"/>
        </w:rPr>
        <w:t>Henry Clay’s American System, Tariff of 1816, 2</w:t>
      </w:r>
      <w:r w:rsidRPr="00DC2B49">
        <w:rPr>
          <w:rFonts w:ascii="Arial" w:hAnsi="Arial" w:cs="Arial"/>
          <w:vertAlign w:val="superscript"/>
        </w:rPr>
        <w:t>nd</w:t>
      </w:r>
      <w:r w:rsidRPr="00DC2B49">
        <w:rPr>
          <w:rFonts w:ascii="Arial" w:hAnsi="Arial" w:cs="Arial"/>
        </w:rPr>
        <w:t xml:space="preserve"> Bank of the U.S.</w:t>
      </w:r>
      <w:r w:rsidR="00C61F93" w:rsidRPr="00DC2B49">
        <w:rPr>
          <w:rFonts w:ascii="Arial" w:hAnsi="Arial" w:cs="Arial"/>
        </w:rPr>
        <w:t>, Transportation</w:t>
      </w:r>
      <w:r w:rsidRPr="00DC2B49">
        <w:rPr>
          <w:rFonts w:ascii="Arial" w:hAnsi="Arial" w:cs="Arial"/>
        </w:rPr>
        <w:t xml:space="preserve"> </w:t>
      </w:r>
    </w:p>
    <w:p w14:paraId="19993E24" w14:textId="3802CFA8" w:rsidR="0062105A" w:rsidRPr="00DC2B49" w:rsidRDefault="0062105A" w:rsidP="0013550E">
      <w:pPr>
        <w:pStyle w:val="NL-1"/>
        <w:ind w:left="0" w:firstLine="0"/>
        <w:rPr>
          <w:rFonts w:ascii="Arial" w:hAnsi="Arial" w:cs="Arial"/>
        </w:rPr>
      </w:pPr>
      <w:r w:rsidRPr="00DC2B49">
        <w:rPr>
          <w:rFonts w:ascii="Arial" w:hAnsi="Arial" w:cs="Arial"/>
        </w:rPr>
        <w:t xml:space="preserve">14. </w:t>
      </w:r>
      <w:r w:rsidR="0013550E">
        <w:rPr>
          <w:rFonts w:ascii="Arial" w:hAnsi="Arial" w:cs="Arial"/>
        </w:rPr>
        <w:tab/>
      </w:r>
      <w:r w:rsidRPr="00DC2B49">
        <w:rPr>
          <w:rFonts w:ascii="Arial" w:hAnsi="Arial" w:cs="Arial"/>
        </w:rPr>
        <w:t>Panic of 1819</w:t>
      </w:r>
    </w:p>
    <w:p w14:paraId="3E1361D6" w14:textId="5EE540B0" w:rsidR="00C61F93" w:rsidRPr="00DC2B49" w:rsidRDefault="0062105A" w:rsidP="0013550E">
      <w:pPr>
        <w:pStyle w:val="NL-1"/>
        <w:ind w:left="0" w:firstLine="0"/>
        <w:rPr>
          <w:rFonts w:ascii="Arial" w:hAnsi="Arial" w:cs="Arial"/>
        </w:rPr>
      </w:pPr>
      <w:r w:rsidRPr="00DC2B49">
        <w:rPr>
          <w:rFonts w:ascii="Arial" w:hAnsi="Arial" w:cs="Arial"/>
        </w:rPr>
        <w:t xml:space="preserve">15. </w:t>
      </w:r>
      <w:r w:rsidR="0013550E">
        <w:rPr>
          <w:rFonts w:ascii="Arial" w:hAnsi="Arial" w:cs="Arial"/>
        </w:rPr>
        <w:tab/>
      </w:r>
      <w:r w:rsidRPr="00DC2B49">
        <w:rPr>
          <w:rFonts w:ascii="Arial" w:hAnsi="Arial" w:cs="Arial"/>
        </w:rPr>
        <w:t>Transportation Revolution, Steamboats</w:t>
      </w:r>
      <w:r w:rsidR="00C61F93" w:rsidRPr="00DC2B49">
        <w:rPr>
          <w:rFonts w:ascii="Arial" w:hAnsi="Arial" w:cs="Arial"/>
        </w:rPr>
        <w:t xml:space="preserve">, </w:t>
      </w:r>
      <w:r w:rsidRPr="00DC2B49">
        <w:rPr>
          <w:rFonts w:ascii="Arial" w:hAnsi="Arial" w:cs="Arial"/>
        </w:rPr>
        <w:t>Erie Canal</w:t>
      </w:r>
      <w:r w:rsidR="00C61F93" w:rsidRPr="00DC2B49">
        <w:rPr>
          <w:rFonts w:ascii="Arial" w:hAnsi="Arial" w:cs="Arial"/>
        </w:rPr>
        <w:t xml:space="preserve">, </w:t>
      </w:r>
      <w:r w:rsidRPr="00DC2B49">
        <w:rPr>
          <w:rFonts w:ascii="Arial" w:hAnsi="Arial" w:cs="Arial"/>
        </w:rPr>
        <w:t xml:space="preserve">National Road </w:t>
      </w:r>
    </w:p>
    <w:p w14:paraId="633849ED" w14:textId="1BEF85EB" w:rsidR="00C61F93" w:rsidRPr="00DC2B49" w:rsidRDefault="00C61F93" w:rsidP="0013550E">
      <w:pPr>
        <w:pStyle w:val="NL-1"/>
        <w:ind w:left="0" w:firstLine="0"/>
        <w:rPr>
          <w:rFonts w:ascii="Arial" w:hAnsi="Arial" w:cs="Arial"/>
        </w:rPr>
      </w:pPr>
      <w:r w:rsidRPr="00DC2B49">
        <w:rPr>
          <w:rFonts w:ascii="Arial" w:hAnsi="Arial" w:cs="Arial"/>
        </w:rPr>
        <w:t xml:space="preserve">16. </w:t>
      </w:r>
      <w:r w:rsidR="0013550E">
        <w:rPr>
          <w:rFonts w:ascii="Arial" w:hAnsi="Arial" w:cs="Arial"/>
        </w:rPr>
        <w:tab/>
      </w:r>
      <w:r w:rsidR="0062105A" w:rsidRPr="00DC2B49">
        <w:rPr>
          <w:rFonts w:ascii="Arial" w:hAnsi="Arial" w:cs="Arial"/>
        </w:rPr>
        <w:t>Missouri Compromise</w:t>
      </w:r>
      <w:r w:rsidRPr="00DC2B49">
        <w:rPr>
          <w:rFonts w:ascii="Arial" w:hAnsi="Arial" w:cs="Arial"/>
        </w:rPr>
        <w:t xml:space="preserve">, Tallmadge Amendment </w:t>
      </w:r>
    </w:p>
    <w:p w14:paraId="09030F4A" w14:textId="4EF14403" w:rsidR="0062105A" w:rsidRPr="00DC2B49" w:rsidRDefault="00C61F93" w:rsidP="0013550E">
      <w:pPr>
        <w:pStyle w:val="NL-1"/>
        <w:ind w:left="0" w:firstLine="0"/>
        <w:rPr>
          <w:rFonts w:ascii="Arial" w:hAnsi="Arial" w:cs="Arial"/>
        </w:rPr>
      </w:pPr>
      <w:r w:rsidRPr="00DC2B49">
        <w:rPr>
          <w:rFonts w:ascii="Arial" w:hAnsi="Arial" w:cs="Arial"/>
        </w:rPr>
        <w:t xml:space="preserve">17. </w:t>
      </w:r>
      <w:r w:rsidR="0013550E">
        <w:rPr>
          <w:rFonts w:ascii="Arial" w:hAnsi="Arial" w:cs="Arial"/>
        </w:rPr>
        <w:tab/>
      </w:r>
      <w:r w:rsidRPr="00DC2B49">
        <w:rPr>
          <w:rFonts w:ascii="Arial" w:hAnsi="Arial" w:cs="Arial"/>
        </w:rPr>
        <w:t xml:space="preserve">Secretary of State </w:t>
      </w:r>
      <w:r w:rsidR="0062105A" w:rsidRPr="00DC2B49">
        <w:rPr>
          <w:rFonts w:ascii="Arial" w:hAnsi="Arial" w:cs="Arial"/>
        </w:rPr>
        <w:t>John Quin</w:t>
      </w:r>
      <w:r w:rsidRPr="00DC2B49">
        <w:rPr>
          <w:rFonts w:ascii="Arial" w:hAnsi="Arial" w:cs="Arial"/>
        </w:rPr>
        <w:t xml:space="preserve">cy Adams, </w:t>
      </w:r>
      <w:r w:rsidR="0062105A" w:rsidRPr="00DC2B49">
        <w:rPr>
          <w:rFonts w:ascii="Arial" w:hAnsi="Arial" w:cs="Arial"/>
        </w:rPr>
        <w:t>Rush-</w:t>
      </w:r>
      <w:proofErr w:type="spellStart"/>
      <w:r w:rsidR="0062105A" w:rsidRPr="00DC2B49">
        <w:rPr>
          <w:rFonts w:ascii="Arial" w:hAnsi="Arial" w:cs="Arial"/>
        </w:rPr>
        <w:t>Bagot</w:t>
      </w:r>
      <w:proofErr w:type="spellEnd"/>
      <w:r w:rsidR="0062105A" w:rsidRPr="00DC2B49">
        <w:rPr>
          <w:rFonts w:ascii="Arial" w:hAnsi="Arial" w:cs="Arial"/>
        </w:rPr>
        <w:t xml:space="preserve"> Treaty</w:t>
      </w:r>
      <w:r w:rsidRPr="00DC2B49">
        <w:rPr>
          <w:rFonts w:ascii="Arial" w:hAnsi="Arial" w:cs="Arial"/>
        </w:rPr>
        <w:t xml:space="preserve">, </w:t>
      </w:r>
      <w:r w:rsidR="0062105A" w:rsidRPr="00DC2B49">
        <w:rPr>
          <w:rFonts w:ascii="Arial" w:hAnsi="Arial" w:cs="Arial"/>
        </w:rPr>
        <w:t>British-American Convention</w:t>
      </w:r>
      <w:r w:rsidRPr="00DC2B49">
        <w:rPr>
          <w:rFonts w:ascii="Arial" w:hAnsi="Arial" w:cs="Arial"/>
        </w:rPr>
        <w:t xml:space="preserve">, </w:t>
      </w:r>
      <w:r w:rsidR="0062105A" w:rsidRPr="00DC2B49">
        <w:rPr>
          <w:rFonts w:ascii="Arial" w:hAnsi="Arial" w:cs="Arial"/>
        </w:rPr>
        <w:t>Adams-</w:t>
      </w:r>
      <w:proofErr w:type="spellStart"/>
      <w:r w:rsidR="0062105A" w:rsidRPr="00DC2B49">
        <w:rPr>
          <w:rFonts w:ascii="Arial" w:hAnsi="Arial" w:cs="Arial"/>
        </w:rPr>
        <w:t>Onis</w:t>
      </w:r>
      <w:proofErr w:type="spellEnd"/>
      <w:r w:rsidR="0062105A" w:rsidRPr="00DC2B49">
        <w:rPr>
          <w:rFonts w:ascii="Arial" w:hAnsi="Arial" w:cs="Arial"/>
        </w:rPr>
        <w:t xml:space="preserve"> Treaty</w:t>
      </w:r>
    </w:p>
    <w:p w14:paraId="6B4BF845" w14:textId="18CB1769" w:rsidR="00C61F93" w:rsidRPr="00DC2B49" w:rsidRDefault="00C61F93" w:rsidP="0013550E">
      <w:pPr>
        <w:pStyle w:val="Bodytext"/>
        <w:rPr>
          <w:rFonts w:ascii="Arial" w:hAnsi="Arial" w:cs="Arial"/>
        </w:rPr>
      </w:pPr>
      <w:r w:rsidRPr="00DC2B49">
        <w:rPr>
          <w:rFonts w:ascii="Arial" w:hAnsi="Arial" w:cs="Arial"/>
        </w:rPr>
        <w:t xml:space="preserve">18. </w:t>
      </w:r>
      <w:r w:rsidR="0013550E">
        <w:rPr>
          <w:rFonts w:ascii="Arial" w:hAnsi="Arial" w:cs="Arial"/>
        </w:rPr>
        <w:tab/>
      </w:r>
      <w:r w:rsidRPr="00DC2B49">
        <w:rPr>
          <w:rFonts w:ascii="Arial" w:hAnsi="Arial" w:cs="Arial"/>
        </w:rPr>
        <w:t xml:space="preserve">Marshall Court, </w:t>
      </w:r>
      <w:r w:rsidR="0062105A" w:rsidRPr="00DC2B49">
        <w:rPr>
          <w:rFonts w:ascii="Arial" w:hAnsi="Arial" w:cs="Arial"/>
        </w:rPr>
        <w:t>Dartmouth College v. Woodward</w:t>
      </w:r>
      <w:r w:rsidRPr="00DC2B49">
        <w:rPr>
          <w:rFonts w:ascii="Arial" w:hAnsi="Arial" w:cs="Arial"/>
        </w:rPr>
        <w:t xml:space="preserve">, </w:t>
      </w:r>
      <w:r w:rsidR="0062105A" w:rsidRPr="00DC2B49">
        <w:rPr>
          <w:rFonts w:ascii="Arial" w:hAnsi="Arial" w:cs="Arial"/>
        </w:rPr>
        <w:t>McCulloch v. Maryland</w:t>
      </w:r>
      <w:r w:rsidRPr="00DC2B49">
        <w:rPr>
          <w:rFonts w:ascii="Arial" w:hAnsi="Arial" w:cs="Arial"/>
        </w:rPr>
        <w:t xml:space="preserve">, </w:t>
      </w:r>
      <w:r w:rsidR="0062105A" w:rsidRPr="00DC2B49">
        <w:rPr>
          <w:rFonts w:ascii="Arial" w:hAnsi="Arial" w:cs="Arial"/>
        </w:rPr>
        <w:t>Gibbons v. Ogden</w:t>
      </w:r>
    </w:p>
    <w:p w14:paraId="16137144" w14:textId="424DD556" w:rsidR="00C61F93" w:rsidRPr="00DC2B49" w:rsidRDefault="00C61F93" w:rsidP="0013550E">
      <w:pPr>
        <w:pStyle w:val="Bodytext"/>
        <w:rPr>
          <w:rFonts w:ascii="Arial" w:hAnsi="Arial" w:cs="Arial"/>
        </w:rPr>
      </w:pPr>
      <w:r w:rsidRPr="00DC2B49">
        <w:rPr>
          <w:rFonts w:ascii="Arial" w:hAnsi="Arial" w:cs="Arial"/>
        </w:rPr>
        <w:t xml:space="preserve">19. </w:t>
      </w:r>
      <w:r w:rsidR="0013550E">
        <w:rPr>
          <w:rFonts w:ascii="Arial" w:hAnsi="Arial" w:cs="Arial"/>
        </w:rPr>
        <w:tab/>
      </w:r>
      <w:r w:rsidRPr="00DC2B49">
        <w:rPr>
          <w:rFonts w:ascii="Arial" w:hAnsi="Arial" w:cs="Arial"/>
        </w:rPr>
        <w:t>Monroe Doctrine</w:t>
      </w:r>
    </w:p>
    <w:p w14:paraId="3A1D6E0B" w14:textId="77777777" w:rsidR="00C61F93" w:rsidRPr="00DC2B49" w:rsidRDefault="00C61F93" w:rsidP="00DC2B49">
      <w:pPr>
        <w:pStyle w:val="Bodytext"/>
        <w:rPr>
          <w:rFonts w:ascii="Arial" w:hAnsi="Arial" w:cs="Arial"/>
        </w:rPr>
      </w:pPr>
    </w:p>
    <w:p w14:paraId="19328572" w14:textId="77777777" w:rsidR="0062105A" w:rsidRPr="00DC2B49" w:rsidRDefault="0062105A" w:rsidP="00DC2B49">
      <w:pPr>
        <w:tabs>
          <w:tab w:val="left" w:pos="0"/>
        </w:tabs>
        <w:suppressAutoHyphens/>
        <w:ind w:left="720" w:hanging="720"/>
        <w:jc w:val="both"/>
        <w:rPr>
          <w:rFonts w:ascii="Arial" w:hAnsi="Arial" w:cs="Arial"/>
          <w:spacing w:val="-3"/>
          <w:sz w:val="20"/>
        </w:rPr>
      </w:pPr>
    </w:p>
    <w:sectPr w:rsidR="0062105A" w:rsidRPr="00DC2B49" w:rsidSect="005C0721">
      <w:type w:val="continuous"/>
      <w:pgSz w:w="12240" w:h="15840"/>
      <w:pgMar w:top="360" w:right="5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E71"/>
    <w:multiLevelType w:val="hybridMultilevel"/>
    <w:tmpl w:val="85047C7A"/>
    <w:lvl w:ilvl="0" w:tplc="F92469C0">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61"/>
    <w:rsid w:val="00095B61"/>
    <w:rsid w:val="0013550E"/>
    <w:rsid w:val="005C0721"/>
    <w:rsid w:val="0062105A"/>
    <w:rsid w:val="00AE0EAD"/>
    <w:rsid w:val="00B23E52"/>
    <w:rsid w:val="00C61F93"/>
    <w:rsid w:val="00D1582E"/>
    <w:rsid w:val="00D75B36"/>
    <w:rsid w:val="00DC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1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61"/>
    <w:pPr>
      <w:widowControl w:val="0"/>
    </w:pPr>
    <w:rPr>
      <w:rFonts w:ascii="Courier New" w:eastAsia="Times New Roman" w:hAnsi="Courier New" w:cs="Times New Roman"/>
      <w:szCs w:val="20"/>
    </w:rPr>
  </w:style>
  <w:style w:type="paragraph" w:styleId="Heading1">
    <w:name w:val="heading 1"/>
    <w:next w:val="Normal"/>
    <w:link w:val="Heading1Char"/>
    <w:qFormat/>
    <w:rsid w:val="0062105A"/>
    <w:pPr>
      <w:keepNext/>
      <w:spacing w:before="240" w:after="60"/>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B61"/>
    <w:pPr>
      <w:tabs>
        <w:tab w:val="left" w:pos="720"/>
      </w:tabs>
      <w:suppressAutoHyphens/>
      <w:ind w:left="720" w:hanging="720"/>
    </w:pPr>
    <w:rPr>
      <w:spacing w:val="-3"/>
      <w:sz w:val="22"/>
    </w:rPr>
  </w:style>
  <w:style w:type="character" w:customStyle="1" w:styleId="BodyTextIndentChar">
    <w:name w:val="Body Text Indent Char"/>
    <w:basedOn w:val="DefaultParagraphFont"/>
    <w:link w:val="BodyTextIndent"/>
    <w:rsid w:val="00095B61"/>
    <w:rPr>
      <w:rFonts w:ascii="Courier New" w:eastAsia="Times New Roman" w:hAnsi="Courier New" w:cs="Times New Roman"/>
      <w:spacing w:val="-3"/>
      <w:sz w:val="22"/>
      <w:szCs w:val="20"/>
    </w:rPr>
  </w:style>
  <w:style w:type="character" w:customStyle="1" w:styleId="Heading1Char">
    <w:name w:val="Heading 1 Char"/>
    <w:basedOn w:val="DefaultParagraphFont"/>
    <w:link w:val="Heading1"/>
    <w:rsid w:val="0062105A"/>
    <w:rPr>
      <w:rFonts w:ascii="Arial" w:eastAsia="Times New Roman" w:hAnsi="Arial" w:cs="Times New Roman"/>
      <w:b/>
      <w:caps/>
      <w:noProof/>
      <w:kern w:val="28"/>
      <w:sz w:val="28"/>
      <w:szCs w:val="20"/>
    </w:rPr>
  </w:style>
  <w:style w:type="paragraph" w:customStyle="1" w:styleId="Bodytext">
    <w:name w:val="Body text"/>
    <w:rsid w:val="0062105A"/>
    <w:pPr>
      <w:spacing w:after="120"/>
    </w:pPr>
    <w:rPr>
      <w:rFonts w:ascii="Times New Roman" w:eastAsia="Times New Roman" w:hAnsi="Times New Roman" w:cs="Times New Roman"/>
      <w:sz w:val="20"/>
      <w:szCs w:val="20"/>
    </w:rPr>
  </w:style>
  <w:style w:type="paragraph" w:customStyle="1" w:styleId="NL-1">
    <w:name w:val="NL-1"/>
    <w:basedOn w:val="Bodytext"/>
    <w:next w:val="Bodytext"/>
    <w:rsid w:val="0062105A"/>
    <w:pPr>
      <w:ind w:left="490" w:hanging="49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61"/>
    <w:pPr>
      <w:widowControl w:val="0"/>
    </w:pPr>
    <w:rPr>
      <w:rFonts w:ascii="Courier New" w:eastAsia="Times New Roman" w:hAnsi="Courier New" w:cs="Times New Roman"/>
      <w:szCs w:val="20"/>
    </w:rPr>
  </w:style>
  <w:style w:type="paragraph" w:styleId="Heading1">
    <w:name w:val="heading 1"/>
    <w:next w:val="Normal"/>
    <w:link w:val="Heading1Char"/>
    <w:qFormat/>
    <w:rsid w:val="0062105A"/>
    <w:pPr>
      <w:keepNext/>
      <w:spacing w:before="240" w:after="60"/>
      <w:outlineLvl w:val="0"/>
    </w:pPr>
    <w:rPr>
      <w:rFonts w:ascii="Arial" w:eastAsia="Times New Roman" w:hAnsi="Arial" w:cs="Times New Roman"/>
      <w:b/>
      <w:caps/>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B61"/>
    <w:pPr>
      <w:tabs>
        <w:tab w:val="left" w:pos="720"/>
      </w:tabs>
      <w:suppressAutoHyphens/>
      <w:ind w:left="720" w:hanging="720"/>
    </w:pPr>
    <w:rPr>
      <w:spacing w:val="-3"/>
      <w:sz w:val="22"/>
    </w:rPr>
  </w:style>
  <w:style w:type="character" w:customStyle="1" w:styleId="BodyTextIndentChar">
    <w:name w:val="Body Text Indent Char"/>
    <w:basedOn w:val="DefaultParagraphFont"/>
    <w:link w:val="BodyTextIndent"/>
    <w:rsid w:val="00095B61"/>
    <w:rPr>
      <w:rFonts w:ascii="Courier New" w:eastAsia="Times New Roman" w:hAnsi="Courier New" w:cs="Times New Roman"/>
      <w:spacing w:val="-3"/>
      <w:sz w:val="22"/>
      <w:szCs w:val="20"/>
    </w:rPr>
  </w:style>
  <w:style w:type="character" w:customStyle="1" w:styleId="Heading1Char">
    <w:name w:val="Heading 1 Char"/>
    <w:basedOn w:val="DefaultParagraphFont"/>
    <w:link w:val="Heading1"/>
    <w:rsid w:val="0062105A"/>
    <w:rPr>
      <w:rFonts w:ascii="Arial" w:eastAsia="Times New Roman" w:hAnsi="Arial" w:cs="Times New Roman"/>
      <w:b/>
      <w:caps/>
      <w:noProof/>
      <w:kern w:val="28"/>
      <w:sz w:val="28"/>
      <w:szCs w:val="20"/>
    </w:rPr>
  </w:style>
  <w:style w:type="paragraph" w:customStyle="1" w:styleId="Bodytext">
    <w:name w:val="Body text"/>
    <w:rsid w:val="0062105A"/>
    <w:pPr>
      <w:spacing w:after="120"/>
    </w:pPr>
    <w:rPr>
      <w:rFonts w:ascii="Times New Roman" w:eastAsia="Times New Roman" w:hAnsi="Times New Roman" w:cs="Times New Roman"/>
      <w:sz w:val="20"/>
      <w:szCs w:val="20"/>
    </w:rPr>
  </w:style>
  <w:style w:type="paragraph" w:customStyle="1" w:styleId="NL-1">
    <w:name w:val="NL-1"/>
    <w:basedOn w:val="Bodytext"/>
    <w:next w:val="Bodytext"/>
    <w:rsid w:val="0062105A"/>
    <w:pPr>
      <w:ind w:left="490" w:hanging="4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520</Words>
  <Characters>2969</Characters>
  <Application>Microsoft Macintosh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2016-09-23T20:00:00Z</dcterms:created>
  <dcterms:modified xsi:type="dcterms:W3CDTF">2016-09-24T00:16:00Z</dcterms:modified>
</cp:coreProperties>
</file>